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>Пенсионерам, имеющим иждивенцев, гарантирована прибавка к пенсии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4"/>
          <w:szCs w:val="24"/>
        </w:rPr>
        <w:t xml:space="preserve">К страховой пенсии, как известно, выплачивается так называемая фиксированная выплата — это сумма, которая гарантирована государством каждому пенсионеру. Она ежегодно индексируется — например, в нынешнем году размер выплаты составляет 6 044 рубля. 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Пенсионеры, чьи дети являются школьниками или студентами,  имеют право на </w:t>
      </w:r>
      <w:r>
        <w:rPr>
          <w:rFonts w:ascii="Liberation Sans" w:hAnsi="Liberation Sans"/>
          <w:b/>
          <w:bCs/>
          <w:sz w:val="24"/>
          <w:szCs w:val="24"/>
        </w:rPr>
        <w:t>получение фиксированной выплаты к страховой пенсии по старости или инвалидности в повышенном размере</w:t>
      </w:r>
      <w:r>
        <w:rPr>
          <w:rFonts w:ascii="Liberation Sans" w:hAnsi="Liberation Sans"/>
          <w:sz w:val="24"/>
          <w:szCs w:val="24"/>
        </w:rPr>
        <w:t>. Такое право есть у обоих родителей. Повышенная фиксированная выплата устанавливается не более чем на трёх иждивенцев.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В 2021 году фиксированная выплата к страховой пенсии для пенсионера с одним иждивенцем составляет </w:t>
      </w:r>
      <w:r>
        <w:rPr>
          <w:rFonts w:ascii="Liberation Sans" w:hAnsi="Liberation Sans"/>
          <w:b/>
          <w:bCs/>
          <w:sz w:val="24"/>
          <w:szCs w:val="24"/>
        </w:rPr>
        <w:t>8 059</w:t>
      </w:r>
      <w:r>
        <w:rPr>
          <w:rFonts w:ascii="Liberation Sans" w:hAnsi="Liberation Sans"/>
          <w:sz w:val="24"/>
          <w:szCs w:val="24"/>
        </w:rPr>
        <w:t xml:space="preserve"> рублей, с двумя иждивенцами — </w:t>
      </w:r>
      <w:r>
        <w:rPr>
          <w:rFonts w:ascii="Liberation Sans" w:hAnsi="Liberation Sans"/>
          <w:b/>
          <w:bCs/>
          <w:sz w:val="24"/>
          <w:szCs w:val="24"/>
        </w:rPr>
        <w:t>10 074</w:t>
      </w:r>
      <w:r>
        <w:rPr>
          <w:rFonts w:ascii="Liberation Sans" w:hAnsi="Liberation Sans"/>
          <w:sz w:val="24"/>
          <w:szCs w:val="24"/>
        </w:rPr>
        <w:t xml:space="preserve"> рубля, с тремя иждивенцами —</w:t>
      </w:r>
      <w:r>
        <w:rPr>
          <w:rFonts w:ascii="Liberation Sans" w:hAnsi="Liberation Sans"/>
          <w:b/>
          <w:bCs/>
          <w:sz w:val="24"/>
          <w:szCs w:val="24"/>
        </w:rPr>
        <w:t xml:space="preserve"> 12 088</w:t>
      </w:r>
      <w:r>
        <w:rPr>
          <w:rFonts w:ascii="Liberation Sans" w:hAnsi="Liberation Sans"/>
          <w:sz w:val="24"/>
          <w:szCs w:val="24"/>
        </w:rPr>
        <w:t xml:space="preserve"> рублей.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Если ребёнок не достиг возраста 18 лет, то повышенная фиксированная выплата к страховой пенсии назначается независимо от факта учёбы, так как иждивение детей до 18 лет предполагается и не требует подтверждения. Если ему от 18 до 23 лет, подтверждён факт нахождения на иждивении, обучение проходит по очной форме в школе, в среднем специальном или высшем учебном заведении, то пенсионеру также устанавливается повышенная фиксированная выплата.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Для  назначения выплаты пенсионеру необходимо обратиться в Пенсионный фонд по месту жительства с соответствующим заявлением и документами, подтверждающими наличие детей (свидетельство о рождении). На детей старше 18 лет дополнительно представляются документы, подтверждающие факт их обучения и нахождения на иждивении обратившегося пенсионера.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Напоминаем, что приём в клиентских службах ПФР идёт только по предварительной записи.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Важно! Если студента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 В ином случае возникнет проблема переплаты пенсионных средств.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b/>
          <w:bCs/>
          <w:sz w:val="24"/>
          <w:szCs w:val="24"/>
        </w:rPr>
        <w:t>12 723</w:t>
      </w:r>
      <w:r>
        <w:rPr>
          <w:rFonts w:ascii="Liberation Sans" w:hAnsi="Liberation Sans"/>
          <w:sz w:val="24"/>
          <w:szCs w:val="24"/>
        </w:rPr>
        <w:t xml:space="preserve"> пенсионера на территории Центра ПФР № 1 получают сегодня повышенную фиксированную выплату с учётом иждивенцев,  в том числе: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- 3 328 человек в городе Волжском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- 844 в Быковском районе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- 528 в Дубовском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- 1 259 в Жирновском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- 510 в Иловлинском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- 1 362 в городе Камышин и Камышинском районе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- 426 в Ленинском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- 345 в Николаевском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- 477 в Ольховском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1 044 в Палласовском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- 421 в Руднянском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- 472 в Среднеахтубинском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- 750 в Старополтавском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Liberation Sans" w:hAnsi="Liberation Sans"/>
          <w:b w:val="false"/>
          <w:bCs w:val="false"/>
          <w:i/>
          <w:iCs/>
          <w:color w:val="000000"/>
          <w:sz w:val="24"/>
          <w:szCs w:val="24"/>
        </w:rPr>
        <w:t>- 957 в городе Фролово и Фроловском районе</w:t>
      </w:r>
      <w:r>
        <w:rPr>
          <w:rFonts w:cs="Times New Roman" w:ascii="Liberation Sans" w:hAnsi="Liberation Sans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2021-03-22T13:31:11Z</dcterms:modified>
  <cp:revision>104</cp:revision>
</cp:coreProperties>
</file>